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jc w:val="right"/>
        <w:rPr>
          <w:sz w:val="24"/>
          <w:szCs w:val="24"/>
        </w:rPr>
      </w:pPr>
      <w:r>
        <w:rPr/>
      </w:r>
    </w:p>
    <w:p>
      <w:pPr>
        <w:pStyle w:val="Style1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drawing>
          <wp:inline distT="0" distB="0" distL="0" distR="0">
            <wp:extent cx="575945" cy="7207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8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</w:p>
    <w:p>
      <w:pPr>
        <w:pStyle w:val="Style18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РОСТОВСКАЯ ОБЛАСТЬ</w:t>
      </w:r>
    </w:p>
    <w:p>
      <w:pPr>
        <w:pStyle w:val="Style18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МУНИЦИПАЛЬНОЕ ОБРАЗОВАНИЕ </w:t>
      </w:r>
    </w:p>
    <w:p>
      <w:pPr>
        <w:pStyle w:val="Style18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«БЕЛОКАЛИТВИНСКИЙ РАЙОН»</w:t>
      </w:r>
    </w:p>
    <w:p>
      <w:pPr>
        <w:pStyle w:val="Style18"/>
        <w:jc w:val="center"/>
        <w:rPr/>
      </w:pPr>
      <w:r>
        <w:rPr>
          <w:spacing w:val="40"/>
          <w:sz w:val="28"/>
          <w:szCs w:val="28"/>
        </w:rPr>
        <w:t>АДМИНИСТРАЦИЯ БЕЛОКАЛИТВИНСКОГО РАЙОНА</w:t>
      </w:r>
      <w:r>
        <w:rPr>
          <w:sz w:val="28"/>
          <w:szCs w:val="28"/>
        </w:rPr>
        <w:t xml:space="preserve"> 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0"/>
        <w:rPr/>
      </w:pPr>
      <w:r>
        <w:rPr>
          <w:sz w:val="28"/>
          <w:szCs w:val="28"/>
        </w:rPr>
        <w:t>06.02.</w:t>
      </w:r>
      <w:r>
        <w:rPr>
          <w:sz w:val="28"/>
          <w:szCs w:val="28"/>
        </w:rPr>
        <w:t xml:space="preserve"> 2017 г.                                       № </w:t>
      </w:r>
      <w:bookmarkStart w:id="0" w:name="Номер"/>
      <w:bookmarkEnd w:id="0"/>
      <w:r>
        <w:rPr>
          <w:sz w:val="28"/>
          <w:szCs w:val="28"/>
        </w:rPr>
        <w:t>153</w:t>
      </w:r>
      <w:r>
        <w:rPr>
          <w:sz w:val="28"/>
          <w:szCs w:val="28"/>
        </w:rPr>
        <w:t xml:space="preserve">                                  г.  Белая Калитва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bookmarkStart w:id="1" w:name="Наименование"/>
      <w:bookmarkEnd w:id="1"/>
      <w:r>
        <w:rPr>
          <w:sz w:val="28"/>
          <w:szCs w:val="28"/>
        </w:rPr>
        <w:t>Об  утверждении  плана мероприятий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>на  2017 – 2018 годы  по реализации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>в  Белокалитвинском  районе  Стратегии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 национальной  политики 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>Российской  Федерации  на период до 2025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 xml:space="preserve">года  </w:t>
      </w:r>
    </w:p>
    <w:p>
      <w:pPr>
        <w:pStyle w:val="Normal"/>
        <w:spacing w:lineRule="auto" w:line="240"/>
        <w:ind w:right="567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pStyle w:val="Normal"/>
        <w:tabs>
          <w:tab w:val="left" w:pos="709" w:leader="none"/>
          <w:tab w:val="left" w:pos="4928" w:leader="none"/>
        </w:tabs>
        <w:ind w:right="0" w:hanging="0"/>
        <w:jc w:val="both"/>
        <w:rPr/>
      </w:pPr>
      <w:r>
        <w:rPr>
          <w:sz w:val="28"/>
          <w:szCs w:val="28"/>
        </w:rPr>
        <w:tab/>
        <w:t xml:space="preserve">  В соответствии с распоряжением Правительства Российской Федерации от 23.12.2015 № 2648-р «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Плане мероприятий по реализации в 2016-2018 гг. Стратегии государственной национальной политики РФ на период до 2025 г.», </w:t>
      </w:r>
      <w:r>
        <w:rPr>
          <w:sz w:val="28"/>
          <w:szCs w:val="28"/>
        </w:rPr>
        <w:t>руководствуясь Постановлением Правительства Ростовской области от 16.01.2017 № 12 «О Плане мероприятий на 2017-2018 годы по реализации в Ростовской области Стратегии государственной национальной политики Российской Федерации на период до 2025 года»,</w:t>
      </w:r>
    </w:p>
    <w:p>
      <w:pPr>
        <w:pStyle w:val="Postan"/>
        <w:rPr/>
      </w:pPr>
      <w:r>
        <w:rPr>
          <w:sz w:val="28"/>
          <w:szCs w:val="28"/>
        </w:rPr>
        <w:t>ПОСТАНОВЛЯЮ:</w:t>
      </w:r>
    </w:p>
    <w:p>
      <w:pPr>
        <w:pStyle w:val="Postan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left="104" w:right="4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на 2017-2018 годы по реализации в Белокалитвинском районе  Стратегии  государственной национальной политики  Российской Федерации на период до 2025 года </w:t>
      </w:r>
      <w:r>
        <w:rPr>
          <w:spacing w:val="0"/>
          <w:sz w:val="28"/>
          <w:szCs w:val="28"/>
          <w:lang w:eastAsia="en-US"/>
        </w:rPr>
        <w:t>с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г</w:t>
      </w:r>
      <w:r>
        <w:rPr>
          <w:spacing w:val="0"/>
          <w:sz w:val="28"/>
          <w:szCs w:val="28"/>
          <w:lang w:eastAsia="en-US"/>
        </w:rPr>
        <w:t>ла</w:t>
      </w:r>
      <w:r>
        <w:rPr>
          <w:sz w:val="28"/>
          <w:szCs w:val="28"/>
          <w:lang w:eastAsia="en-US"/>
        </w:rPr>
        <w:t>с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pacing w:val="0"/>
          <w:sz w:val="28"/>
          <w:szCs w:val="28"/>
          <w:lang w:eastAsia="en-US"/>
        </w:rPr>
        <w:t>п</w:t>
      </w:r>
      <w:r>
        <w:rPr>
          <w:spacing w:val="1"/>
          <w:sz w:val="28"/>
          <w:szCs w:val="28"/>
          <w:lang w:eastAsia="en-US"/>
        </w:rPr>
        <w:t>ри</w:t>
      </w:r>
      <w:r>
        <w:rPr>
          <w:spacing w:val="0"/>
          <w:sz w:val="28"/>
          <w:szCs w:val="28"/>
          <w:lang w:eastAsia="en-US"/>
        </w:rPr>
        <w:t>л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ж</w:t>
      </w:r>
      <w:r>
        <w:rPr>
          <w:spacing w:val="0"/>
          <w:sz w:val="28"/>
          <w:szCs w:val="28"/>
          <w:lang w:eastAsia="en-US"/>
        </w:rPr>
        <w:t>е</w:t>
      </w:r>
      <w:r>
        <w:rPr>
          <w:spacing w:val="1"/>
          <w:sz w:val="28"/>
          <w:szCs w:val="28"/>
          <w:lang w:eastAsia="en-US"/>
        </w:rPr>
        <w:t>ни</w:t>
      </w:r>
      <w:r>
        <w:rPr>
          <w:sz w:val="28"/>
          <w:szCs w:val="28"/>
          <w:lang w:eastAsia="en-US"/>
        </w:rPr>
        <w:t xml:space="preserve">ю к 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ас</w:t>
      </w:r>
      <w:r>
        <w:rPr>
          <w:spacing w:val="0"/>
          <w:sz w:val="28"/>
          <w:szCs w:val="28"/>
          <w:lang w:eastAsia="en-US"/>
        </w:rPr>
        <w:t>т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ящ</w:t>
      </w:r>
      <w:r>
        <w:rPr>
          <w:spacing w:val="0"/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му</w:t>
      </w:r>
      <w:r>
        <w:rPr>
          <w:spacing w:val="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ста</w:t>
      </w:r>
      <w:r>
        <w:rPr>
          <w:spacing w:val="0"/>
          <w:sz w:val="28"/>
          <w:szCs w:val="28"/>
          <w:lang w:eastAsia="en-US"/>
        </w:rPr>
        <w:t>н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</w:t>
      </w:r>
      <w:r>
        <w:rPr>
          <w:spacing w:val="0"/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>е</w:t>
      </w:r>
      <w:r>
        <w:rPr>
          <w:spacing w:val="0"/>
          <w:sz w:val="28"/>
          <w:szCs w:val="28"/>
          <w:lang w:eastAsia="en-US"/>
        </w:rPr>
        <w:t>н</w:t>
      </w:r>
      <w:r>
        <w:rPr>
          <w:spacing w:val="1"/>
          <w:sz w:val="28"/>
          <w:szCs w:val="28"/>
          <w:lang w:eastAsia="en-US"/>
        </w:rPr>
        <w:t>и</w:t>
      </w:r>
      <w:r>
        <w:rPr>
          <w:spacing w:val="0"/>
          <w:sz w:val="28"/>
          <w:szCs w:val="28"/>
          <w:lang w:eastAsia="en-US"/>
        </w:rPr>
        <w:t>ю</w:t>
      </w:r>
      <w:r>
        <w:rPr>
          <w:sz w:val="28"/>
          <w:szCs w:val="28"/>
          <w:lang w:eastAsia="en-US"/>
        </w:rPr>
        <w:t>.</w:t>
      </w:r>
    </w:p>
    <w:p>
      <w:pPr>
        <w:pStyle w:val="Normal"/>
        <w:widowControl w:val="false"/>
        <w:spacing w:lineRule="auto" w:line="240"/>
        <w:ind w:left="104" w:right="38" w:firstLine="708"/>
        <w:jc w:val="both"/>
        <w:rPr/>
      </w:pPr>
      <w:r>
        <w:rPr>
          <w:sz w:val="28"/>
          <w:szCs w:val="28"/>
          <w:lang w:eastAsia="en-US"/>
        </w:rPr>
        <w:t>2. Рекомендовать главам Администраций поселений и главе Коксовского сельского поселения, входящих в состав Белокалитвинского  района,  принять аналогичные  нормативные правовые акты.</w:t>
      </w:r>
    </w:p>
    <w:p>
      <w:pPr>
        <w:pStyle w:val="Normal"/>
        <w:widowControl w:val="false"/>
        <w:spacing w:lineRule="auto" w:line="240"/>
        <w:ind w:left="104" w:right="38" w:firstLine="708"/>
        <w:jc w:val="both"/>
        <w:rPr/>
      </w:pPr>
      <w:r>
        <w:rPr>
          <w:sz w:val="28"/>
          <w:szCs w:val="28"/>
          <w:lang w:eastAsia="en-US"/>
        </w:rPr>
        <w:t>3. Постановление вступает в силу со дня его принятия.</w:t>
      </w:r>
    </w:p>
    <w:p>
      <w:pPr>
        <w:pStyle w:val="Normal"/>
        <w:widowControl w:val="false"/>
        <w:spacing w:lineRule="exact" w:line="322" w:before="3" w:after="0"/>
        <w:ind w:left="104" w:right="49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r>
        <w:rPr>
          <w:spacing w:val="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</w:t>
      </w:r>
      <w:r>
        <w:rPr>
          <w:spacing w:val="0"/>
          <w:sz w:val="28"/>
          <w:szCs w:val="28"/>
          <w:lang w:eastAsia="en-US"/>
        </w:rPr>
        <w:t>о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</w:t>
      </w:r>
      <w:r>
        <w:rPr>
          <w:spacing w:val="0"/>
          <w:sz w:val="28"/>
          <w:szCs w:val="28"/>
          <w:lang w:eastAsia="en-US"/>
        </w:rPr>
        <w:t>р</w:t>
      </w:r>
      <w:r>
        <w:rPr>
          <w:spacing w:val="1"/>
          <w:sz w:val="28"/>
          <w:szCs w:val="28"/>
          <w:lang w:eastAsia="en-US"/>
        </w:rPr>
        <w:t>о</w:t>
      </w:r>
      <w:r>
        <w:rPr>
          <w:spacing w:val="0"/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>ь  за  в</w:t>
      </w:r>
      <w:r>
        <w:rPr>
          <w:spacing w:val="0"/>
          <w:sz w:val="28"/>
          <w:szCs w:val="28"/>
          <w:lang w:eastAsia="en-US"/>
        </w:rPr>
        <w:t>ы</w:t>
      </w:r>
      <w:r>
        <w:rPr>
          <w:spacing w:val="1"/>
          <w:sz w:val="28"/>
          <w:szCs w:val="28"/>
          <w:lang w:eastAsia="en-US"/>
        </w:rPr>
        <w:t>по</w:t>
      </w:r>
      <w:r>
        <w:rPr>
          <w:spacing w:val="0"/>
          <w:sz w:val="28"/>
          <w:szCs w:val="28"/>
          <w:lang w:eastAsia="en-US"/>
        </w:rPr>
        <w:t>л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</w:t>
      </w:r>
      <w:r>
        <w:rPr>
          <w:spacing w:val="0"/>
          <w:sz w:val="28"/>
          <w:szCs w:val="28"/>
          <w:lang w:eastAsia="en-US"/>
        </w:rPr>
        <w:t>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ем  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с</w:t>
      </w:r>
      <w:r>
        <w:rPr>
          <w:spacing w:val="0"/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а</w:t>
      </w:r>
      <w:r>
        <w:rPr>
          <w:spacing w:val="0"/>
          <w:sz w:val="28"/>
          <w:szCs w:val="28"/>
          <w:lang w:eastAsia="en-US"/>
        </w:rPr>
        <w:t>н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</w:t>
      </w:r>
      <w:r>
        <w:rPr>
          <w:spacing w:val="0"/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>е</w:t>
      </w:r>
      <w:r>
        <w:rPr>
          <w:spacing w:val="0"/>
          <w:sz w:val="28"/>
          <w:szCs w:val="28"/>
          <w:lang w:eastAsia="en-US"/>
        </w:rPr>
        <w:t>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я  воз</w:t>
      </w:r>
      <w:r>
        <w:rPr>
          <w:spacing w:val="0"/>
          <w:sz w:val="28"/>
          <w:szCs w:val="28"/>
          <w:lang w:eastAsia="en-US"/>
        </w:rPr>
        <w:t>л</w:t>
      </w:r>
      <w:r>
        <w:rPr>
          <w:spacing w:val="1"/>
          <w:sz w:val="28"/>
          <w:szCs w:val="28"/>
          <w:lang w:eastAsia="en-US"/>
        </w:rPr>
        <w:t>о</w:t>
      </w:r>
      <w:r>
        <w:rPr>
          <w:spacing w:val="0"/>
          <w:sz w:val="28"/>
          <w:szCs w:val="28"/>
          <w:lang w:eastAsia="en-US"/>
        </w:rPr>
        <w:t>ж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ть 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заместителя главы Белокалитвинского района по вопросам казачества, спорту, молодежи и делам ГО и ЧС  В.В. Самуйлика.</w:t>
      </w:r>
    </w:p>
    <w:p>
      <w:pPr>
        <w:pStyle w:val="Normal"/>
        <w:spacing w:lineRule="auto" w:line="240"/>
        <w:ind w:left="104" w:right="46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2"/>
        <w:numPr>
          <w:ilvl w:val="0"/>
          <w:numId w:val="0"/>
        </w:numPr>
        <w:spacing w:lineRule="auto" w:line="276"/>
        <w:ind w:left="0" w:hanging="0"/>
        <w:rPr>
          <w:sz w:val="28"/>
          <w:szCs w:val="28"/>
        </w:rPr>
      </w:pPr>
      <w:r>
        <w:rPr>
          <w:sz w:val="28"/>
          <w:szCs w:val="28"/>
        </w:rPr>
        <w:t>Глава  района</w:t>
        <w:tab/>
        <w:t xml:space="preserve">                                                                                     О.А. Мельникова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Проект вносит: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Заместитель главы Администрации                                                                      Белокалитвинского района по вопросам</w:t>
      </w:r>
    </w:p>
    <w:p>
      <w:pPr>
        <w:sectPr>
          <w:type w:val="nextPage"/>
          <w:pgSz w:w="11906" w:h="16838"/>
          <w:pgMar w:left="1134" w:right="572" w:header="0" w:top="300" w:footer="0" w:bottom="368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auto" w:line="276"/>
        <w:rPr/>
      </w:pPr>
      <w:r>
        <w:rPr>
          <w:sz w:val="28"/>
          <w:szCs w:val="28"/>
        </w:rPr>
        <w:t>казачества, спорту, молодежи и делам ГО и ЧС                                        В.В. Самуйлик</w:t>
      </w:r>
    </w:p>
    <w:p>
      <w:pPr>
        <w:pStyle w:val="Normal"/>
        <w:suppressAutoHyphens w:val="true"/>
        <w:ind w:left="10773" w:hanging="0"/>
        <w:jc w:val="center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suppressAutoHyphens w:val="true"/>
        <w:ind w:left="10773" w:hanging="0"/>
        <w:jc w:val="center"/>
        <w:rPr/>
      </w:pPr>
      <w:r>
        <w:rPr>
          <w:sz w:val="28"/>
          <w:szCs w:val="28"/>
        </w:rPr>
        <w:t>к постановлению</w:t>
        <w:br/>
        <w:t>Администрации Белокалитвинского района</w:t>
      </w:r>
    </w:p>
    <w:p>
      <w:pPr>
        <w:pStyle w:val="Normal"/>
        <w:ind w:left="10773" w:hanging="0"/>
        <w:jc w:val="center"/>
        <w:rPr/>
      </w:pPr>
      <w:r>
        <w:rPr>
          <w:sz w:val="28"/>
        </w:rPr>
        <w:t>от __________ № _____</w:t>
      </w:r>
    </w:p>
    <w:p>
      <w:pPr>
        <w:pStyle w:val="Normal"/>
        <w:suppressAutoHyphens w:val="true"/>
        <w:jc w:val="center"/>
        <w:rPr/>
      </w:pPr>
      <w:r>
        <w:rPr>
          <w:sz w:val="28"/>
          <w:szCs w:val="28"/>
        </w:rPr>
        <w:t>ПЛАН</w:t>
        <w:br/>
        <w:t>мероприятий на 2017 – 2018 годы по реализации в Белокалитвинском районе</w:t>
      </w:r>
    </w:p>
    <w:p>
      <w:pPr>
        <w:pStyle w:val="Normal"/>
        <w:suppressAutoHyphens w:val="true"/>
        <w:jc w:val="center"/>
        <w:rPr/>
      </w:pPr>
      <w:r>
        <w:rPr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765" w:type="dxa"/>
        <w:jc w:val="left"/>
        <w:tblInd w:w="-3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val="01e0"/>
      </w:tblPr>
      <w:tblGrid>
        <w:gridCol w:w="854"/>
        <w:gridCol w:w="2551"/>
        <w:gridCol w:w="1409"/>
        <w:gridCol w:w="2475"/>
        <w:gridCol w:w="1605"/>
        <w:gridCol w:w="2505"/>
        <w:gridCol w:w="2655"/>
        <w:gridCol w:w="1709"/>
      </w:tblGrid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Задача мероприятия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Индикатор (количественный или качественный) для контроля исполнения мероприятий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Документ, подтверждающий исполнение мероприятий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e"/>
        <w:tblW w:w="15810" w:type="dxa"/>
        <w:jc w:val="left"/>
        <w:tblInd w:w="-34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108" w:type="dxa"/>
        </w:tblCellMar>
        <w:tblLook w:val="04a0"/>
      </w:tblPr>
      <w:tblGrid>
        <w:gridCol w:w="869"/>
        <w:gridCol w:w="2536"/>
        <w:gridCol w:w="1410"/>
        <w:gridCol w:w="2506"/>
        <w:gridCol w:w="1575"/>
        <w:gridCol w:w="2506"/>
        <w:gridCol w:w="2654"/>
        <w:gridCol w:w="1752"/>
      </w:tblGrid>
      <w:tr>
        <w:trPr>
          <w:tblHeader w:val="true"/>
          <w:trHeight w:val="300" w:hRule="atLeast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I. </w:t>
            </w:r>
            <w:r>
              <w:rPr>
                <w:sz w:val="28"/>
                <w:szCs w:val="28"/>
              </w:rPr>
              <w:t>Совершенствование государственного управления на территории Белокалитвинского района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в сфере реализации государственной национальной политики Российской Федерации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Мониторинг ситуации в сфере межэтнических отношений в   Белокалитвинском районе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района (ведущий специалист Администрации Белокалитвинского района по работе с общественными организациями, противодействию экстремизму, терроризму)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мониторинг состояния межэтнических отношений на территории Белокалитвинского района;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оперативное реагирование на возникновение межэтнической напряженности и раннее предупреждение конфликтных ситуаций в данной сфере общественной жизни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охват всех полиэтничных муниципальных образований Белокалитвинского района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 совещаний с участием представителей органов исполнительной власти и местного самоуправления Белокалитвинского района по вопросам укрепления единства российской нации, предупреждения межнациональных конфликтов, обеспечения эффективной работы системы мониторинга состояния межэтнических и межрелигиозных отношений и профилактики экстремизма на национальной и религиозной почве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2017 – 2018 годы;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Белокалитвинского района; Отдел МВД России по Белокалитвинскому району*.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совершенствование системы управления и координации  муниципальных органов при реализации государственной национальной политики Российской Федерации;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организационное обеспечение совершенствования деятельности органов муниципальной  власти Белокалитвинского района по решению задач государственной национальной политики Российской Федерации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ежегодное проведение не менее 2  совещаний с представителями органов исполнительной власти и местного самоуправления при участии правоохранительных и правоприменительных органов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работе,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протоколы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совещаний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Повышение квалификации  муниципальных служащих Белокалитвинского района, осуществляющих взаимодействие с этническими объединениями и религиозными организациями, по вопросам реализации государственной национальной политики Российской Федерации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bookmarkStart w:id="2" w:name="__DdeLink__7129_550160154"/>
            <w:bookmarkEnd w:id="2"/>
            <w:r>
              <w:rPr>
                <w:sz w:val="28"/>
                <w:szCs w:val="28"/>
              </w:rPr>
              <w:t xml:space="preserve">Администрация Белокалитвинского района </w:t>
            </w:r>
            <w:bookmarkStart w:id="3" w:name="__DdeLink__1633_708984539"/>
            <w:bookmarkEnd w:id="3"/>
            <w:r>
              <w:rPr>
                <w:sz w:val="28"/>
                <w:szCs w:val="28"/>
              </w:rPr>
              <w:t>(ведущий специалист Администрации Белокалитвинского района по работе с общественными организациями, противодействию экстремизму, терроризму)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совершенствование муниципального  управления на территории Белокалитвинского района в сфере реализации государственной национальной политики Российской Федерации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ежегодное проведение не менее 1 курсов повышения квалификации, численностью не менее 1 участника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>
          <w:trHeight w:val="357" w:hRule="atLeast"/>
        </w:trPr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II. Обеспечение равноправия граждан, реализации их конституционных прав на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территории Белокалитвинского района в сфере государственной национальной политики Российской Федерации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органы местного самоуправления Белокалитвинского района;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МВД России по Белокалитвинскому району *;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Прокуратура Белокалитвинского района *;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 муниципальной службы 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обращений граждан;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наличие (отсутствие) фактов нарушения принципа равенства граждан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об исполнении (ежегодно, до 15 февраля года, следующего за отчетным)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III. Укрепление единства и духовной общности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полиэтничного народа Российской Федерации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Организация и проведение конкурса казачьих династий «Быть казаком великое везенье»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Белокалитвинского района; ЮКО «Усть- 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сохранение и развитие казачьей культуры на территории Белокалитвинского района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400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участия казачьей молодежи Белокалитвинского района во Всероссийской военно-спортивной игре «Казачий сполох»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ЮКО «Усть- 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популяризация казачьих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(военно-спортивных) видов спорта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участие команды Белокалитвинского района в военно-спортивной игре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Содействие проведению праздничных и торжественных мероприятий, приуроченных к памятным датам в истории народов России, в том числе посвященных: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Белокалитвинского района (Отдел культуры, Отдел образования)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распространение знаний об истории и культуре народов Российской Федерации, проживающих на территории Белокалитвинского района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отчеты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3.3.1.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Международному дню русского языка в Белокалитвинском районе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района; Отдел культуры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поддержка и развитие государственного языка Российской Федерации и славянской культуры как ядра общероссийской гражданской идентичности у жителей Белокалитвинского района;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сохранения и приумножения культурного наследия народов Российской Федерации путем формирования в обществе атмосферы уважения к историческому наследию и культурным ценностям народов России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не менее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600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отчеты о проделанной работе;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 на официальном сайте  Администрации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3.3.2.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Дню славянской письменности и культуры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Белокалитвинского района (Отдел образования; отдел культуры)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в пределах средств, предусмотренных в муниципальном бюджете 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поддержка и развитие государственного языка Российской Федерации и славянской культуры как ядра общероссийской гражданской идентичности у жителей Белокалитвинского района;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сохранения и приумножения культурного наследия народов Российской Федерации путем формирования в обществе атмосферы уважения к историческому наследию и культурным ценностям народов России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не менее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600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отчеты о проделанной работе;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 на сайте Администрации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3.3.3.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Дню народного единства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в пределах средств, предусмотренных  в муниципальном бюджете 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формирование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не менее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350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отчеты о проделанной работе;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 на сайте Администрации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3.3.4.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Дню Российского Флага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ежегодно,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культуры Администрации Белокалитвинского района; комитет по физической культуре, спорту и делам молодежи.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воспитание патриотизма, укрепление активной гражданской позиции жителей области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500 участников ежегодно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фестиваля народного творчества «Матушка Казанская»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культуры Администрации Белокалитвинского рай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формирование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ежегодное количество участников – не менее 400 человек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Организация и проведение мероприятий по профилактике проявления терроризма, этнического и религиозно-политического экстремизма в молодежной среде среди молодежи Белокалитвинского района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Комитет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укрепление ценностей единства российской нации;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профилактика терроризма, этнического, религиозного и политического экстремизма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участие не менее 300 человек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Организация и проведение  акции «Декада толерантности»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Комитет по физической культуре, спорту и делам молодежи Администрации Белокалитвинского района 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привлечение внимания молодежи к важности (ценности) уважения других народов, культур, традиций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участие не менее 250 человек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IV. Обеспечение межэтнического согласия, гармонизации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межэтнических отношений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Организовать проведение профилактических занятий в образовательных учреждениях Белокалитвинского района на тему угрозы и профилактики религиозного и этнического экстремизма в молодежной среде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2107 – 2018 годы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профилактика экстремизма в среде учащихся;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гармонизация межэтнических отношений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охват не менее 1/2 образовательных учреждений Белокалитвинского района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Осуществление проверки деятельности общественных объединений, религиозных и иных некоммерческих организаций, обмен информацией о выявлении фактов проявлений экстремизма на национальной и религиозной почве со стороны указанных объединений, в том числе возможных попыток распространения экстремистской идеологии и литературы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МВД России по Белокалитвинском району *;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Прокуратура Белокалитвинского района*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принятие мер по предотвращению и пресечению деятельности общественных объединений, направленной на распространение идей экстремизма, возрождение националистической идеологии, воспроизводящей идеи нацизма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процент исполнения ежегодного плана проверок некоммерческих организаций;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внеплановых проверок;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мер правового реагирования, принятых по результатам проверок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общественных слушаний, «круглых столов», научно-практических конференций по вопросам противодействия проявлениям ксенофобии и укрепления межнационального согласия в Белокалитвинском районе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Администрация Белокалитвинского района (Общий отдел; </w:t>
            </w:r>
            <w:bookmarkStart w:id="4" w:name="__DdeLink__2215_1310956797"/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  <w:bookmarkEnd w:id="4"/>
            <w:r>
              <w:rPr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определение в качестве приоритетных задач в сфере государственной национальной политики Российской Федерации для  муниципальных органов и их должностных лиц вопросов, связанных с поддержанием межнационального мира и согласия, гармонизацией межнациональных отношений, профилактикой возникновения конфликтных ситуаций, содействием диалогу между представителями различных этнических общностей;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общественно-политической стабильности, национального мира и согласия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мероприятий и их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>
          <w:trHeight w:val="711" w:hRule="atLeast"/>
        </w:trPr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V. Обеспечение социально-экономических условий для эффективной реализации на 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территории Белокалитвинского района государственной национальной политики Российской Федерации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Оказание финансовой поддержки социально ориентированным некоммерческим организациям, включая национально-культурные автономии, религиозные организации, молодежные объединения, реализующим проекты и программы, направленные на гармонизацию межнациональных отношений, воспитание культуры межэтнического общения,  формирование нетерпимости к проявлениям ксенофобии, национальной, расовой и религиозной вражды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shd w:fill="FFFFFF" w:val="clear"/>
              </w:rPr>
              <w:t>Комитет по физической культуре, спорту и делам молодежи Администрации Белокалитвинского района; Отдел культуры Администрации Белокалитвинского района;  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социально ориентированных организаций, чья деятельность, направленная на гармонизацию межнациональных и межрелигиозных отношений, была поддержана со стороны Администрации района;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размер средств бюджета Белокалитвинского района, направленных на поддержку таких социально ориентированных организаций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отчеты о проделанной работе </w:t>
            </w:r>
          </w:p>
        </w:tc>
      </w:tr>
      <w:tr>
        <w:trPr>
          <w:trHeight w:val="433" w:hRule="atLeast"/>
        </w:trPr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VI. Содействие сохранению и развитию этнокультурного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многообразия народов России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Организация и проведение военно-полевых сборов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ЮКО «Усть- 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в пределах средств, предусмотренных в муниципальном бюджете  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сохранение и развитие казачьей культуры в Белокалитвинском районе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не менее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500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праздника «Троицкие гуляния»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культуры Администрации Белокалитвинского района, ЮКО «Усть-Белокалитвинский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в пределах средств, предусмотренных в муниципальном бюджете 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сохранения и развитие многообразия </w:t>
            </w:r>
            <w:r>
              <w:rPr>
                <w:bCs/>
                <w:sz w:val="28"/>
                <w:szCs w:val="28"/>
              </w:rPr>
              <w:t>национальных</w:t>
            </w:r>
            <w:r>
              <w:rPr>
                <w:sz w:val="28"/>
                <w:szCs w:val="28"/>
              </w:rPr>
              <w:t xml:space="preserve"> культур народов проживающих на территории Белокалитвинского района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не менее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1000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Кояльских чтений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в пределах средств, предусмотренных в муниципальном бюджете 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сохранения и развитие многообразия </w:t>
            </w:r>
            <w:r>
              <w:rPr>
                <w:bCs/>
                <w:sz w:val="28"/>
                <w:szCs w:val="28"/>
              </w:rPr>
              <w:t>национальных</w:t>
            </w:r>
            <w:r>
              <w:rPr>
                <w:sz w:val="28"/>
                <w:szCs w:val="28"/>
              </w:rPr>
              <w:t xml:space="preserve"> культур народов Белокалитвинского района.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 2000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Конкурс сочинений «Мой край Донским зовется»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сохранение и развитие традиционной донской культуры 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500 участников ежегодно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VII. Развитие системы образования, гражданского патриотического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воспитания подрастающих поколений на территории Белокалитвинском районе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тематического мероприятия «Живая память», посвященного Дню солидарности в борьбе с терроризмом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ежегодно,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Отдел культуры Администрации Белокалитвинского района; </w:t>
            </w:r>
            <w:bookmarkStart w:id="5" w:name="__DdeLink__6599_2087452812"/>
            <w:r>
              <w:rPr>
                <w:sz w:val="28"/>
                <w:szCs w:val="28"/>
              </w:rPr>
              <w:t>Комитет по физической культуре, спорту и делам молодежи;</w:t>
            </w:r>
            <w:bookmarkEnd w:id="5"/>
            <w:r>
              <w:rPr>
                <w:sz w:val="28"/>
                <w:szCs w:val="28"/>
              </w:rPr>
              <w:t xml:space="preserve"> 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воспитание толерантности, профилактика экстремизма, укрепление активной гражданской позиции юных спортсменов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200 участников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Включение в учебные предметы в рамках учебных планов образовательных организаций разделов и модулей, направленных на усвоение знаний о традиционной культуре, истории, источниках единства и достижениях полиэтничного народа России и входящих в него этносов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2017 – 2018 годы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формирование у детей и молодежи общероссийского гражданского самосознания, чувства патриотизма, гражданской ответственности, гордости за историю нашей страны, воспитание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России, на всех этапах образовательного процесса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наличие соответствующих модулей и разделов в учебных планах образовательных организаций Белокалитвинского района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Увеличение числа образовательных учреждений, использующих в учебно-воспитательной работе культурно-исторические традиции донского казачества и  особенности Донского края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bookmarkStart w:id="6" w:name="__DdeLink__3536_70083164"/>
            <w:r>
              <w:rPr>
                <w:sz w:val="28"/>
                <w:szCs w:val="28"/>
              </w:rPr>
              <w:t>ЮКО «Усть-Белокалитвинский Казачий юрт»</w:t>
            </w:r>
            <w:bookmarkEnd w:id="6"/>
            <w:r>
              <w:rPr>
                <w:sz w:val="28"/>
                <w:szCs w:val="28"/>
              </w:rPr>
              <w:t>; 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сети казачьих образовательных учреждений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охват 20 образовательных учреждений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участия казачьей молодежи Белокалитвинского района во Всероссийской спартакиаде допризывной казачьей молодежи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ЮКО «Усть-Белокалитвинский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содействие подготовке казачьей молодежи к службе в Вооруженных силах России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участие команды – победителя районного этапа в областной спартакиаде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Обеспечение участия казачьего кадетского корпуса Белокалитвинского района в смотре-конкурсе на звание «Лучший казачий кадетский корпус»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ЮКО «Усть-Белокалитвинский Казачий юрт»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содействие качественному развитию системы казачьего образования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участие казачьего кадетского корпуса в смотре-конкурсе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VIII. Поддержка русского языка как государственного языка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Российской Федерации и языков народов России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в образовательных учреждениях Белокалитвинского района недели русского языка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создание оптимальных условий для сохранения и развития русского языка, использования русского языка как государственного языка Российской Федерации, языка межэтнического и международного общения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организация и проведение мероприятий во всех общеобразовательных учреждениях Белокалитвинского района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IX. Создание условий для социальной и культурной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адаптации и интеграции мигрантов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eastAsia="Calibri"/>
                <w:sz w:val="20"/>
                <w:szCs w:val="20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и реализация мер по повышению уровня миграционной привлекательности Белокалитвинского района для соотечественников, проживающих за рубежом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shd w:fill="FFFFFF" w:val="clear"/>
              </w:rPr>
              <w:t xml:space="preserve">  </w:t>
            </w:r>
            <w:r>
              <w:rPr>
                <w:sz w:val="28"/>
                <w:szCs w:val="28"/>
                <w:shd w:fill="FFFFFF" w:val="clear"/>
              </w:rPr>
              <w:t>Центр занятости населения; Отдел МВД России по Белокалитвинскому району*.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Привлечение специалистов с учетом развития рынка труда и создание условий для социальной адаптации и интеграции переселенцев с целью обеспечения трудовыми ресурсами потребности экономики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8"/>
                <w:szCs w:val="28"/>
              </w:rPr>
              <w:t>Численность трудоустроенных соотечественников -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прибывших в район на постоянное проживание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X. Информационное обеспечение реализации на территории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Белокалитвинского района государственной национальной политики Российской Федерации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Реализация информационной кампании, направленной на укрепление общероссийской гражданской идентичности и межнационального (межэтнического), межконфессионального согласия; этнокультурное развитие народов, проживающих в Белокалитвинском районе; освещение деятельности этнокультурных общественных объединений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Отдел МВД России по Белокалитвинскому району*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производство и размещение в СМИ информации направленной на реализацию целей и задач государствен-ной национальной политики;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выступление в средствах массовой информации руководителей государственных и муниципальных органов, представителей институтов гражданского общества, общественных объединений и религиозных организаций по актуальным вопросам, связанным с реализацией государственной национальной политики Российской Федерации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увеличение количества информационных мероприятий, направленных на реализацию целей и задач государственной национальной политики Российской Федерации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10.2.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Проведение  круглых столов, конференций, лекций по проблемам межнационального и межконфессионального согласия с участием представителей основных религиозных конфессий и средств массовой информации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Администрация Белокалитвинского района (ведущий специалист Администрации Белокалитвинского района по работе с общественными организациями, противодействию экстремизму, терроризму)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пределах средств, предусмотренных в муниципальном бюджете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выступление в средствах массовой информации руководителей государственных и муниципальных органов, представителей институтов гражданского общества, общественных объединений и религиозных организаций по актуальным вопросам, связанным с реализацией государственной национальной политики Российской Федерации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не менее 2  круглых столов, конференций ежегодно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80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XI. Совершенствование взаимодействия органов государственной власти</w:t>
              <w:br/>
              <w:t>и местного самоуправления с институтами гражданского общества на территории Белокалитвинского района</w:t>
            </w:r>
          </w:p>
        </w:tc>
      </w:tr>
      <w:tr>
        <w:trPr/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11.1.</w:t>
            </w:r>
          </w:p>
        </w:tc>
        <w:tc>
          <w:tcPr>
            <w:tcW w:w="2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Анализ деятельности координационных и консультативных структур по вопросам межнациональных и этноконфессиональных отношений, действующих на территории Белокалитвинского района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Ведущий специалист Администрации Белокалитвинского района по работе с общественными организациями, противодействию экстремизму, терроризму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усиление роли координационных и консультативных структур в деятельности по повышению общероссийского гражданского самосознания;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гармонизации межнациональных (межэтнических) и межконфессиональных отношений, обеспечению социальной и культурной адаптации и интеграции мигрантов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количество координационных и консультативных структур, действующих в Белокалитвинском районе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отчет о проделанной работе</w:t>
            </w:r>
          </w:p>
        </w:tc>
      </w:tr>
    </w:tbl>
    <w:p>
      <w:pPr>
        <w:pStyle w:val="Normal"/>
        <w:spacing w:lineRule="auto" w:line="22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28"/>
        <w:ind w:firstLine="709"/>
        <w:jc w:val="both"/>
        <w:rPr/>
      </w:pPr>
      <w:r>
        <w:rPr>
          <w:sz w:val="28"/>
          <w:szCs w:val="28"/>
        </w:rPr>
        <w:t>Примечание.</w:t>
      </w:r>
    </w:p>
    <w:p>
      <w:pPr>
        <w:pStyle w:val="Normal"/>
        <w:spacing w:lineRule="auto" w:line="228"/>
        <w:jc w:val="both"/>
        <w:rPr/>
      </w:pPr>
      <w:r>
        <w:rPr>
          <w:sz w:val="28"/>
          <w:szCs w:val="28"/>
        </w:rPr>
        <w:t>* По согласованию.</w:t>
      </w:r>
    </w:p>
    <w:p>
      <w:pPr>
        <w:pStyle w:val="Normal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jc w:val="both"/>
        <w:rPr/>
      </w:pPr>
      <w:r>
        <w:rPr>
          <w:sz w:val="28"/>
          <w:szCs w:val="28"/>
        </w:rPr>
        <w:t>Управляющий делами                                                                                                                                                      Л.Г. Василенко</w:t>
      </w:r>
    </w:p>
    <w:sectPr>
      <w:type w:val="nextPage"/>
      <w:pgSz w:orient="landscape" w:w="16838" w:h="11906"/>
      <w:pgMar w:left="1134" w:right="709" w:header="0" w:top="315" w:footer="0" w:bottom="476" w:gutter="0"/>
      <w:pgNumType w:fmt="decimal"/>
      <w:formProt w:val="false"/>
      <w:textDirection w:val="lrTb"/>
      <w:docGrid w:type="default" w:linePitch="27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Normal"/>
    <w:next w:val="Normal"/>
    <w:pPr>
      <w:keepNext/>
      <w:jc w:val="center"/>
      <w:outlineLvl w:val="0"/>
    </w:pPr>
    <w:rPr>
      <w:sz w:val="44"/>
      <w:szCs w:val="20"/>
    </w:rPr>
  </w:style>
  <w:style w:type="paragraph" w:styleId="2">
    <w:name w:val="Заголовок 2"/>
    <w:basedOn w:val="Normal"/>
    <w:next w:val="Normal"/>
    <w:pPr>
      <w:keepNext/>
      <w:ind w:left="709" w:hanging="0"/>
      <w:outlineLvl w:val="1"/>
    </w:pPr>
    <w:rPr>
      <w:sz w:val="28"/>
      <w:szCs w:val="20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ascii="Times New Roman" w:hAnsi="Times New Roman"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8">
    <w:name w:val="Верхний колонтитул"/>
    <w:basedOn w:val="Normal"/>
    <w:pPr>
      <w:tabs>
        <w:tab w:val="center" w:pos="4536" w:leader="none"/>
        <w:tab w:val="right" w:pos="9072" w:leader="none"/>
      </w:tabs>
    </w:pPr>
    <w:rPr>
      <w:sz w:val="28"/>
      <w:szCs w:val="20"/>
    </w:rPr>
  </w:style>
  <w:style w:type="paragraph" w:styleId="Postan">
    <w:name w:val="Postan"/>
    <w:basedOn w:val="Normal"/>
    <w:qFormat/>
    <w:pPr>
      <w:jc w:val="center"/>
    </w:pPr>
    <w:rPr>
      <w:sz w:val="28"/>
      <w:szCs w:val="20"/>
    </w:rPr>
  </w:style>
  <w:style w:type="paragraph" w:styleId="Style19">
    <w:name w:val="Нижний колонтитул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12433</TotalTime>
  <Application>LibreOffice/4.4.1.2$Linux_x86 LibreOffice_project/40m0$Build-2</Application>
  <Paragraphs>361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2017-01-16T12:50:54Z</dcterms:created>
  <dc:creator>vga  </dc:creator>
  <dc:language>ru-RU</dc:language>
  <cp:lastModifiedBy>vga  </cp:lastModifiedBy>
  <cp:lastPrinted>2017-02-02T11:38:49Z</cp:lastPrinted>
  <dcterms:modified xsi:type="dcterms:W3CDTF">2017-03-17T15:18:25Z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